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02:39 МСК · База обновлена: 29.08.2026,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полученных данных при проведении планового контрольного (надзорного) мероприятия по обследованию загородной стационарной организации труда и отдыха детей.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характеристикам показателя потенциального риска причинения вреда здоровью +(R)+ при осуществлении деятельности по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значение R, составляющее 1х10</w:t>
      </w:r>
      <w:r>
        <w:rPr>
          <w:b w:val="0"/>
          <w:i w:val="0"/>
          <w:vertAlign w:val="superscript"/>
        </w:rPr>
        <w:t>-4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плановых контрольных (надзорных) мероприятий – один раз перед началом каникул и далее один раз во время каникул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плановых контрольных (надзорных) мероприятий более 2-х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высокий риск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значение R &gt; 1х10</w:t>
      </w:r>
      <w:r>
        <w:rPr>
          <w:b w:val="0"/>
          <w:i w:val="0"/>
          <w:vertAlign w:val="superscript"/>
        </w:rPr>
        <w:t>-3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проведение плановых контрольных (надзорных) мероприятий – один раз перед началом каникул и далее один раз во время каникул</w:t>
      </w:r>
      <w:r>
        <w:br/>
      </w:r>
      <w:r>
        <w:rPr>
          <w:b/>
          <w:i w:val="0"/>
        </w:rPr>
        <w:t>5 - чрезвычайно высокий риск</w:t>
      </w:r>
      <w:r>
        <w:br/>
      </w:r>
      <w:r>
        <w:rPr>
          <w:b/>
          <w:i w:val="0"/>
        </w:rPr>
        <w:t>6 - значение R &gt; 1х10</w:t>
      </w:r>
      <w:r>
        <w:rPr>
          <w:b/>
          <w:i w:val="0"/>
          <w:vertAlign w:val="superscript"/>
        </w:rPr>
        <w:t>-3</w:t>
      </w:r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в отношении следующих объектов контроля, отнесенных к категории чрезвычайно высокого риска, проводятся со следующей периодичностью: «…» в отношении деятельности детских лагерей на время каникул - один раз перед началом каникул и далее один раз во время каникул.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 36 «б».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</w:r>
    </w:p>
    <w:p>
      <w:pPr>
        <w:spacing w:after="58"/>
      </w:pPr>
      <w:r>
        <w:rPr>
          <w:b w:val="0"/>
          <w:i w:val="0"/>
        </w:rPr>
        <w:t>в случае, если показатель потенциального риска причинения вреда здоровью составляет более 1х10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>- чрезвычайно высокий риск «…»</w:t>
      </w:r>
    </w:p>
    <w:p>
      <w:pPr>
        <w:spacing w:after="58"/>
      </w:pPr>
      <w:r>
        <w:rPr>
          <w:b w:val="0"/>
          <w:i w:val="0"/>
        </w:rPr>
        <w:t>Положение «О федеральном государственном санитарно-эпидемиологическом контроле (надзоре)» от 30 июня 2021 г. № 1100, п.1 Приложения №1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Объекты контроля «…» относятся к следующим категориям риска в зависимости от показателя потенциального риска причинения вреда здоровью «…»:</w:t>
      </w:r>
    </w:p>
    <w:p>
      <w:pPr>
        <w:spacing w:after="58"/>
      </w:pPr>
      <w:r>
        <w:rPr>
          <w:b w:val="0"/>
          <w:i w:val="0"/>
        </w:rPr>
        <w:t>в случае, если показатель потенциального риска причинения вреда здоровью составляет более 1х10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>- чрезвычайно высокий риск «…»</w:t>
      </w:r>
    </w:p>
    <w:p>
      <w:pPr>
        <w:spacing w:after="58"/>
      </w:pPr>
      <w:r>
        <w:rPr>
          <w:b w:val="0"/>
          <w:i w:val="0"/>
        </w:rPr>
        <w:t>Положение «О федеральном государственном санитарно-эпидемиологическом контроле (надзоре)» от 30 июня 2021 г. № 1100, п.1 Приложения №1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контрольных (надзорных)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контрольного (надзорного)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контрольных (надзорных) мероприятий в соответствии с риск-ориентированным подходом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отправку уведомления о начале контрольного (надзорного) мероприятия</w:t>
      </w:r>
      <w:r>
        <w:br/>
      </w:r>
      <w:r>
        <w:rPr>
          <w:b/>
          <w:i w:val="0"/>
        </w:rPr>
        <w:t>3 - размещение информации о плане контрольных (надзорных) мероприятий</w:t>
      </w:r>
      <w:r>
        <w:br/>
      </w:r>
      <w:r>
        <w:rPr>
          <w:b/>
          <w:i w:val="0"/>
        </w:rPr>
        <w:t>4 - согласование плана контрольных (надзорных) мероприятий</w:t>
      </w:r>
      <w:r>
        <w:br/>
      </w:r>
      <w:r>
        <w:rPr>
          <w:b/>
          <w:i w:val="0"/>
        </w:rPr>
        <w:t>5 - планирование контрольных (надзорных) мероприятий в соответствии с риск-ориентированным подходом</w:t>
      </w:r>
      <w:r>
        <w:br/>
      </w:r>
      <w:r>
        <w:rPr>
          <w:b/>
          <w:i w:val="0"/>
        </w:rPr>
        <w:t>6 - принятие решения о проведении контрольного (надзорного) мероприятия</w:t>
      </w:r>
    </w:p>
    <w:p>
      <w:pPr>
        <w:spacing w:after="58"/>
      </w:pPr>
      <w:r>
        <w:rPr>
          <w:b w:val="0"/>
          <w:i w:val="0"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п.4, ст. 21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информационного обеспечения государственного контроля (надзора), муниципального контроля создаются:</w:t>
      </w:r>
    </w:p>
    <w:p>
      <w:pPr>
        <w:spacing w:after="58"/>
      </w:pPr>
      <w:r>
        <w:rPr>
          <w:b w:val="0"/>
          <w:i w:val="0"/>
        </w:rPr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</w:r>
    </w:p>
    <w:p>
      <w:pPr>
        <w:spacing w:after="58"/>
      </w:pPr>
      <w:r>
        <w:rPr>
          <w:b w:val="0"/>
          <w:i w:val="0"/>
        </w:rPr>
        <w:t>2) единый реестр контрольных (надзорных) мероприятий «…»</w:t>
      </w:r>
    </w:p>
    <w:p>
      <w:pPr>
        <w:spacing w:after="58"/>
      </w:pPr>
      <w:r>
        <w:rPr>
          <w:b w:val="0"/>
          <w:i w:val="0"/>
        </w:rPr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17; п. 4, ст. 19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61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22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№248-ФЗ, п.1, ст. 64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основным законодательным и нормативным документам, используемым в ходе осуществления контрольного (надзорного) мероприятия в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 ТС 025/2012 «О безопасности мебельной продукции»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санитарно-эпидемиологическом благополучии населения» от 30.03.1999 № 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br/>
      </w:r>
      <w:r>
        <w:rPr>
          <w:b/>
          <w:i w:val="0"/>
        </w:rPr>
        <w:t>3 - Федеральный закон «О санитарно-эпидемиологическом благополучии населения» от 30.03.1999 № 52-ФЗ</w:t>
      </w:r>
      <w:r>
        <w:br/>
      </w:r>
      <w:r>
        <w:rPr>
          <w:b/>
          <w:i w:val="0"/>
        </w:rPr>
        <w:t>4 -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br/>
      </w:r>
      <w:r>
        <w:rPr>
          <w:b/>
          <w:i w:val="0"/>
        </w:rPr>
        <w:t>5 - Постановление Правительства РФ от 30 июня 2021 г. № 1100 «О федеральном государственном санитарно-эпидемиологическом контроле (надзоре)»</w:t>
      </w:r>
      <w:r>
        <w:br/>
      </w:r>
      <w:r>
        <w:rPr>
          <w:b/>
          <w:i w:val="0"/>
        </w:rPr>
        <w:t>6 - 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spacing w:after="58"/>
      </w:pPr>
      <w:r>
        <w:rPr>
          <w:b w:val="0"/>
          <w:i w:val="0"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с.369-397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Предметом государственного контроля (надзора) являются: «…»</w:t>
      </w:r>
    </w:p>
    <w:p>
      <w:pPr>
        <w:spacing w:after="58"/>
      </w:pPr>
      <w:r>
        <w:rPr>
          <w:b w:val="0"/>
          <w:i w:val="0"/>
        </w:rPr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п.3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деятельности* *«…», включая требования к «…» отдыху и оздоровлению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п.1.1.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(надзора).</w:t>
      </w:r>
    </w:p>
    <w:p>
      <w:pPr>
        <w:spacing w:after="58"/>
      </w:pPr>
      <w:r>
        <w:rPr>
          <w:b w:val="0"/>
          <w:i w:val="0"/>
        </w:rPr>
        <w:t>Постановление Правительства РФ от 30 июня 2021 г. № 1100 «О федеральном государственном санитарно-эпидемиологическом контроле (надзоре)», п. 1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Статья 1, п.1</w:t>
      </w:r>
    </w:p>
    <w:p>
      <w:pPr>
        <w:spacing w:after="58"/>
      </w:pPr>
      <w:r>
        <w:rPr>
          <w:b w:val="0"/>
          <w:i w:val="0"/>
        </w:rPr>
        <w:t>Федеральный закон «О государственном контроле (надзоре) и муниципальном контроле в Российской Федерации» от 31.07.2020 N 248-ФЗ, п.1, ст.1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сведениям, предоставляемым администрацией организации труда и отдыха в территориальные органы государственного санитарно-эпидемиологического надзора не позднее, чем за месяц до открытия каждого сезона,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сроки проведения культурно-массовых мероприятий в течение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режим работы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планируемые сроки заездов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график проведения родительских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сроки проведения противоклещевой обработки территории и мероприятий по борьбе с грызунами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режим работы организации</w:t>
      </w:r>
      <w:r>
        <w:br/>
      </w:r>
      <w:r>
        <w:rPr>
          <w:b/>
          <w:i w:val="0"/>
        </w:rPr>
        <w:t>3 - планируемые сроки заездов детей</w:t>
      </w:r>
      <w:r>
        <w:br/>
      </w:r>
      <w:r>
        <w:rPr>
          <w:b/>
          <w:i w:val="0"/>
        </w:rPr>
        <w:t>5 - количество детей</w:t>
      </w:r>
      <w:r>
        <w:br/>
      </w:r>
      <w:r>
        <w:rPr>
          <w:b/>
          <w:i w:val="0"/>
        </w:rPr>
        <w:t>6 - сроки проведения противоклещевой обработки территории и мероприятий по борьбе с грызунами</w:t>
      </w:r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Хозяйствующие субъекты в срок не позднее,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о планируемых сроках заездов детей и режиме работы, а также количестве детей.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3.12.1.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3.11.2.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различных видов работ детей и подростков на открытых площадках,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выполнение трудовых работ детьми после 20:00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обязательный осмотр на предмет присасывания клеща после возвращения с трудовых работ, выполняемых за пределами территории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осмотр детей на предмет присасывания клеща 1 раз в три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детьми и подростками только в головных уборах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работ в часы наименьшей инсоляции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выполнение работ в послеобеденное время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запрет на выполнение трудовых работ детьми после 20:00 часов</w:t>
      </w:r>
      <w:r>
        <w:br/>
      </w:r>
      <w:r>
        <w:rPr>
          <w:b/>
          <w:i w:val="0"/>
        </w:rPr>
        <w:t>2 - обязательный осмотр на предмет присасывания клеща после возвращения с трудовых работ, выполняемых за пределами территории организации</w:t>
      </w:r>
      <w:r>
        <w:br/>
      </w:r>
      <w:r>
        <w:rPr>
          <w:b/>
          <w:i w:val="0"/>
        </w:rPr>
        <w:t>4 - выполнение работ детьми и подростками только в головных уборах</w:t>
      </w:r>
      <w:r>
        <w:br/>
      </w:r>
      <w:r>
        <w:rPr>
          <w:b/>
          <w:i w:val="0"/>
        </w:rPr>
        <w:t>5 - выполнение работ в часы наименьшей инсоляции</w:t>
      </w:r>
    </w:p>
    <w:p>
      <w:pPr>
        <w:spacing w:after="58"/>
      </w:pPr>
      <w:r>
        <w:rPr>
          <w:b w:val="0"/>
          <w:i w:val="0"/>
        </w:rPr>
        <w:t>Запрещается труд детей после 20:00 часов.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3.11.10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Дети должны работать в головных уборах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анализа результатов исследования питьевой воды 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содержания 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общего микробного числа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показателя общей минерализации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превышение показателя цветности и мутности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превышение содержания фторидов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снижение перманганатной окисляемости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превышение содержания железа</w:t>
      </w:r>
      <w:r>
        <w:br/>
      </w:r>
      <w:r>
        <w:rPr>
          <w:b/>
          <w:i w:val="0"/>
        </w:rPr>
        <w:t>2 - превышение общего микробного числа</w:t>
      </w:r>
      <w:r>
        <w:br/>
      </w:r>
      <w:r>
        <w:rPr>
          <w:b/>
          <w:i w:val="0"/>
        </w:rPr>
        <w:t>4 - превышение показателя цветности и мутности</w:t>
      </w:r>
    </w:p>
    <w:p>
      <w:pPr>
        <w:spacing w:after="58"/>
      </w:pPr>
      <w:r>
        <w:rPr>
          <w:b w:val="0"/>
          <w:i w:val="0"/>
        </w:rPr>
        <w:t>В соответствии с таблицей 3.13 «Предельно допустимые концентрации (ПДК) химических веществ воде питьевой систем централизованного….водоснабжения…»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ПДК железа может составлять не более 0,3 мг/л.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3.13,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3.5 «Санитарно-микробиологические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общее микробное число может составлять не более 50 КОЕ/см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3.5,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 «Органолептические показатели качества различных видов вод, кроме технической воды»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показатель цветности может составлять не более 20 град., показатель мутности – не более 2,6 ЕМФ (по формазину).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и необходимым действиям в данной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дополнительных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энтерококков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обобщенных колиморфных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_Legionella pneumophila_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показателя _Candida albicans_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пробе воды цист патогенных простейших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дополнительных показателей</w:t>
      </w:r>
      <w:r>
        <w:br/>
      </w:r>
      <w:r>
        <w:rPr>
          <w:b/>
          <w:i w:val="0"/>
        </w:rPr>
        <w:t>2 - наличие в пробе воды энтерококков</w:t>
      </w:r>
      <w:r>
        <w:br/>
      </w:r>
      <w:r>
        <w:rPr>
          <w:b/>
          <w:i w:val="0"/>
        </w:rPr>
        <w:t>3 - наличие в пробе воды обобщенных колиморфных бактерий</w:t>
      </w:r>
      <w:r>
        <w:br/>
      </w:r>
      <w:r>
        <w:rPr>
          <w:b/>
          <w:i w:val="0"/>
        </w:rPr>
        <w:t>6 - наличие в пробе воды цист патогенных простейших</w:t>
      </w:r>
    </w:p>
    <w:p>
      <w:pPr>
        <w:spacing w:after="58"/>
      </w:pPr>
      <w:r>
        <w:rPr>
          <w:b w:val="0"/>
          <w:i w:val="0"/>
        </w:rPr>
        <w:t>Дополнительные показатели возбудителей кишечных инфекций бактериальной и вирусной природы определяются в случае превышения допустимых уровней загрязнения одного или более основных показателей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п. 17,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энтерококки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обобщенные колиморфные бактерии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3.10 «Санитарно-микробиологические и паразитологические показатели безопасности воды плавательных бассейнов и аквапарков» части III «Нормативы качества и безопасности воды»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цисты патогенных простейших в пробе воды должны отсутствовать.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3.10, ч. III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трудовой деятельности в часы высокой инсоляции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четкого зонирования территории лагеря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труда детей не менее 3-х часов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пребывание детей 12-14 лет в организации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проведение утренней зарядки более 15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недостаточную продолжительность ночного сна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проведение трудовой деятельности в часы высокой инсоляции</w:t>
      </w:r>
      <w:r>
        <w:br/>
      </w:r>
      <w:r>
        <w:rPr>
          <w:b/>
          <w:i w:val="0"/>
        </w:rPr>
        <w:t>2 - отсутствие четкого зонирования территории лагеря</w:t>
      </w:r>
      <w:r>
        <w:br/>
      </w:r>
      <w:r>
        <w:rPr>
          <w:b/>
          <w:i w:val="0"/>
        </w:rPr>
        <w:t>3 - продолжительность труда детей не менее 3-х часов в день</w:t>
      </w:r>
      <w:r>
        <w:br/>
      </w:r>
      <w:r>
        <w:rPr>
          <w:b/>
          <w:i w:val="0"/>
        </w:rPr>
        <w:t>6 - недостаточную продолжительность ночного сна</w:t>
      </w:r>
    </w:p>
    <w:p>
      <w:pPr>
        <w:spacing w:after="58"/>
      </w:pPr>
      <w:r>
        <w:rPr>
          <w:b w:val="0"/>
          <w:i w:val="0"/>
        </w:rPr>
        <w:t>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3.14.1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выделяют следующие зоны: жилая, физкультурно-оздоровительная, хозяйственная «..»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3.11.3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труда детей 12-13 лет должна составлять не более 2,0 ч в день, для детей 14-15 лет – не более 2,5 ч в день.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6.7.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ночного сна для детей в возрасте 11-14 лет должна составлять не менее 9,0 час.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труда и отдыха детей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ежедневный осмотр после окончания работы персонала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организации труда и отдыха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вакцинацию каждого работника в соответствии с национальным календарем профилактических прививок</w:t>
      </w:r>
      <w:r>
        <w:br/>
      </w:r>
      <w:r>
        <w:rPr>
          <w:b/>
          <w:i w:val="0"/>
        </w:rPr>
        <w:t>2 - предварительный и периодические медицинские осмотры при поступлении на работу в установленном порядке</w:t>
      </w:r>
      <w:r>
        <w:br/>
      </w:r>
      <w:r>
        <w:rPr>
          <w:b/>
          <w:i w:val="0"/>
        </w:rPr>
        <w:t>4 - наличие личной медицинской книжки у работника организации труда и отдыха детей</w:t>
      </w:r>
      <w:r>
        <w:br/>
      </w:r>
      <w:r>
        <w:rPr>
          <w:b/>
          <w:i w:val="0"/>
        </w:rPr>
        <w:t>6 - обязательную гигиеническую подготовку и аттестацию персонала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основным требованиям, предъявляемым к размещению и оборудованию изолятора медицинского пункта организации труда и отдыха детей,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туалета с раковиной для мытья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не менее двух палат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отдельного поста медицинской сестры изолятора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буфетной с двумя моечными раковинами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ванной комнаты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шкафов для хранения посуды в буфетной изолятора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туалета с раковиной для мытья рук</w:t>
      </w:r>
      <w:r>
        <w:br/>
      </w:r>
      <w:r>
        <w:rPr>
          <w:b/>
          <w:i w:val="0"/>
        </w:rPr>
        <w:t>2 - наличие не менее двух палат</w:t>
      </w:r>
      <w:r>
        <w:br/>
      </w:r>
      <w:r>
        <w:rPr>
          <w:b/>
          <w:i w:val="0"/>
        </w:rPr>
        <w:t>4 - наличие буфетной с двумя моечными раковинами</w:t>
      </w:r>
      <w:r>
        <w:br/>
      </w:r>
      <w:r>
        <w:rPr>
          <w:b/>
          <w:i w:val="0"/>
        </w:rPr>
        <w:t>5 - оборудование ванной комнаты</w:t>
      </w:r>
      <w:r>
        <w:br/>
      </w:r>
      <w:r>
        <w:rPr>
          <w:b/>
          <w:i w:val="0"/>
        </w:rPr>
        <w:t>6 - наличие шкафов для хранения посуды в буфетной изолятора</w:t>
      </w:r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изоляторе медицинского пункта предусматриваются не менее двух палат (раздельно для капельных и кишечных инфекций) «..»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Возможно оборудование в медицинском пункте или в изоляторе душевой (ванной комнаты).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п.3.11.5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основным нормируемым показателям тяжести трудового процесса для детей и подростков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массу перемещаемого груза вручную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величину статической нагрузки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физическую динамическую нагрузку за 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стереотипные рабочие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сочетание статической и динамической нагрузки за рабочий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размер перемещаемого груза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массу перемещаемого груза вручную</w:t>
      </w:r>
      <w:r>
        <w:br/>
      </w:r>
      <w:r>
        <w:rPr>
          <w:b/>
          <w:i w:val="0"/>
        </w:rPr>
        <w:t>2 - величину статической нагрузки за смену</w:t>
      </w:r>
      <w:r>
        <w:br/>
      </w:r>
      <w:r>
        <w:rPr>
          <w:b/>
          <w:i w:val="0"/>
        </w:rPr>
        <w:t>3 - физическую динамическую нагрузку за смену</w:t>
      </w:r>
      <w:r>
        <w:br/>
      </w:r>
      <w:r>
        <w:rPr>
          <w:b/>
          <w:i w:val="0"/>
        </w:rPr>
        <w:t>4 - стереотипные рабочие движения</w:t>
      </w:r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массу перемещаемого груза вручную.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величину статической нагрузки за смену.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физическую динамическую нагрузку за смену.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6.16,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таблицей 6.16.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к основным нормируемым показателям тяжести трудового процесса относят стереотипные рабочие движения.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6.7, ч. VI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результатов контрольного (надзорного) мероприятия по обследованию организации труда и отдыха детей и подростков предусматривает,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оформляется акт административного расследования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производится на месте проведения контрольного (надзорного) мероприятия, в день его окончания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материалы, являющиеся доказательствами выявленных нарушений, должны быть приобщены к акту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направляется акт контрольного (надзорного) мероприятия в органы прокуратуры посредством единого реестра контрольных (надзорных) мероприятий</w:t>
      </w:r>
      <w:r>
        <w:br/>
      </w:r>
      <w:r>
        <w:rPr>
          <w:b/>
          <w:i w:val="0"/>
        </w:rPr>
        <w:t>3 - оформление акта производится на месте проведения контрольного (надзорного) мероприятия, в день его окончания</w:t>
      </w:r>
      <w:r>
        <w:br/>
      </w:r>
      <w:r>
        <w:rPr>
          <w:b/>
          <w:i w:val="0"/>
        </w:rPr>
        <w:t>4 - материалы, являющиеся доказательствами выявленных нарушений, должны быть приобщены к акту</w:t>
      </w:r>
      <w:r>
        <w:br/>
      </w:r>
      <w:r>
        <w:rPr>
          <w:b/>
          <w:i w:val="0"/>
        </w:rPr>
        <w:t>5 - при выявлении нарушений обязательных требований – в акте указывается какое именно требование нарушено и каким нормативным правовым актом оно установлено</w:t>
      </w:r>
      <w:r>
        <w:br/>
      </w:r>
      <w:r>
        <w:rPr>
          <w:b/>
          <w:i w:val="0"/>
        </w:rPr>
        <w:t>6 - по окончании проведения контрольного (надзорного) мероприятия составляется акт контрольного (надзорного) мероприятия</w:t>
      </w:r>
    </w:p>
    <w:p>
      <w:pPr>
        <w:spacing w:after="58"/>
      </w:pPr>
      <w:r>
        <w:rPr>
          <w:b w:val="0"/>
          <w:i w:val="0"/>
        </w:rPr>
        <w:t>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5 ст. 87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3 ст. 87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(надзорного) мероприятия проверочные листы должны быть приобщены к акту.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мероприятия.</w:t>
      </w:r>
    </w:p>
    <w:p>
      <w:pPr>
        <w:spacing w:after="58"/>
      </w:pPr>
      <w:r>
        <w:rPr>
          <w:b w:val="0"/>
          <w:i w:val="0"/>
        </w:rPr>
        <w:t>Федерального закона «О государственном контроле (надзоре) и муниципальном контроле в Российской Федерации» от 31.07.2020 N 248-ФЗ, п. 2 ст. 87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1100/" TargetMode="External"/><Relationship Id="rId23" Type="http://schemas.openxmlformats.org/officeDocument/2006/relationships/hyperlink" Target="https://library.mededtech.ru/rest/documents/post1100/#list_item_2g7ofs" TargetMode="External"/><Relationship Id="rId24" Type="http://schemas.openxmlformats.org/officeDocument/2006/relationships/hyperlink" Target="https://library.mededtech.ru/rest/documents/post1100/#table_162id5" TargetMode="External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image" Target="media/image9.png"/><Relationship Id="rId28" Type="http://schemas.openxmlformats.org/officeDocument/2006/relationships/hyperlink" Target="https://library.mededtech.ru/rest/documents/fzN248/" TargetMode="External"/><Relationship Id="rId29" Type="http://schemas.openxmlformats.org/officeDocument/2006/relationships/hyperlink" Target="https://library.mededtech.ru/rest/documents/fzN248/#list_item_2n81d7" TargetMode="External"/><Relationship Id="rId30" Type="http://schemas.openxmlformats.org/officeDocument/2006/relationships/hyperlink" Target="https://library.mededtech.ru/rest/documents/fzN248/#list_item_54kkic" TargetMode="External"/><Relationship Id="rId31" Type="http://schemas.openxmlformats.org/officeDocument/2006/relationships/hyperlink" Target="https://library.mededtech.ru/rest/documents/fzN248/#list_item_t0blsu" TargetMode="External"/><Relationship Id="rId32" Type="http://schemas.openxmlformats.org/officeDocument/2006/relationships/hyperlink" Target="https://library.mededtech.ru/rest/documents/fzN248/#list_item_64q534" TargetMode="External"/><Relationship Id="rId33" Type="http://schemas.openxmlformats.org/officeDocument/2006/relationships/hyperlink" Target="https://library.mededtech.ru/rest/documents/fzN248/#list_item_c193qk" TargetMode="External"/><Relationship Id="rId34" Type="http://schemas.openxmlformats.org/officeDocument/2006/relationships/hyperlink" Target="https://library.mededtech.ru/rest/documents/fzN248/#list_item_q8o1t8" TargetMode="External"/><Relationship Id="rId35" Type="http://schemas.openxmlformats.org/officeDocument/2006/relationships/hyperlink" Target="https://library.mededtech.ru/rest/documents/sp1.2.3685-21/" TargetMode="External"/><Relationship Id="rId36" Type="http://schemas.openxmlformats.org/officeDocument/2006/relationships/hyperlink" Target="https://library.mededtech.ru/rest/documents/sp1.2.3685-21/#vi_&#1043;&#1080;&#1075;&#1080;&#1077;&#1085;&#1080;&#1095;&#1077;&#1089;&#1082;&#1080;&#1077;_&#1085;&#1086;&#1088;&#1084;&#1072;&#1090;&#1080;&#1074;&#1099;_&#1087;&#1086;_&#1091;&#1089;&#1090;&#1088;&#1086;&#1081;&#1089;&#1090;&#1074;&#1091;_&#1089;&#1086;&#1076;&#1077;&#1088;&#1078;&#1072;&#1085;&#1080;&#1102;_&#1080;_&#1088;&#1077;&#1078;&#1080;&#1084;&#1091;_&#1088;&#1072;&#1073;&#1086;&#1090;&#1099;_&#1086;&#1088;&#1075;&#1072;&#1085;&#1080;&#1079;&#1072;&#1094;&#1080;&#1081;_&#1074;&#1086;&#1089;&#1087;&#1080;&#1090;&#1072;&#1085;&#1080;&#1103;_&#1080;_&#1086;&#1073;&#1091;&#1095;&#1077;&#1085;&#1080;&#1103;_&#1086;&#1090;&#1076;&#1099;&#1093;&#1072;_&#1080;_&#1086;&#1079;&#1076;&#1086;&#1088;&#1086;&#1074;&#1083;&#1077;&#1085;&#1080;&#1103;_&#1076;&#1077;&#1090;&#1077;&#1081;_&#1080;_&#1084;&#1086;&#1083;&#1086;&#1076;&#1077;&#1078;&#1080;" TargetMode="External"/><Relationship Id="rId37" Type="http://schemas.openxmlformats.org/officeDocument/2006/relationships/hyperlink" Target="https://library.mededtech.ru/rest/documents/post1100/#list_item_h6fi9v" TargetMode="External"/><Relationship Id="rId38" Type="http://schemas.openxmlformats.org/officeDocument/2006/relationships/hyperlink" Target="https://library.mededtech.ru/rest/documents/sp2.4.3648_20/" TargetMode="External"/><Relationship Id="rId39" Type="http://schemas.openxmlformats.org/officeDocument/2006/relationships/hyperlink" Target="https://library.mededtech.ru/rest/documents/sp2.4.3648_20/#p_1_1" TargetMode="External"/><Relationship Id="rId40" Type="http://schemas.openxmlformats.org/officeDocument/2006/relationships/hyperlink" Target="https://library.mededtech.ru/rest/documents/post1100/#list_item_tbfueq" TargetMode="External"/><Relationship Id="rId41" Type="http://schemas.openxmlformats.org/officeDocument/2006/relationships/hyperlink" Target="https://library.mededtech.ru/rest/documents/fzN248/#list_item_2tn8v2" TargetMode="External"/><Relationship Id="rId42" Type="http://schemas.openxmlformats.org/officeDocument/2006/relationships/hyperlink" Target="https://library.mededtech.ru/rest/documents/sp2.4.3648_20/#list_item_m2gr55" TargetMode="External"/><Relationship Id="rId43" Type="http://schemas.openxmlformats.org/officeDocument/2006/relationships/hyperlink" Target="https://library.mededtech.ru/rest/documents/sp2.4.3648_20/#list_item_u32gck" TargetMode="External"/><Relationship Id="rId44" Type="http://schemas.openxmlformats.org/officeDocument/2006/relationships/hyperlink" Target="https://library.mededtech.ru/rest/documents/sp2.4.3648_20/#list_item_h5b23u" TargetMode="External"/><Relationship Id="rId45" Type="http://schemas.openxmlformats.org/officeDocument/2006/relationships/hyperlink" Target="https://library.mededtech.ru/rest/documents/sp2.4.3648_20/#list_item_8emj5t" TargetMode="External"/><Relationship Id="rId46" Type="http://schemas.openxmlformats.org/officeDocument/2006/relationships/hyperlink" Target="https://library.mededtech.ru/rest/documents/sp2.4.3648_20/#list_item_2tif12" TargetMode="External"/><Relationship Id="rId47" Type="http://schemas.openxmlformats.org/officeDocument/2006/relationships/hyperlink" Target="https://library.mededtech.ru/rest/documents/sp2.4.3648_20/#list_item_j3661m" TargetMode="External"/><Relationship Id="rId48" Type="http://schemas.openxmlformats.org/officeDocument/2006/relationships/hyperlink" Target="https://library.mededtech.ru/rest/documents/sp1.2.3685-21/#tab3_13" TargetMode="External"/><Relationship Id="rId49" Type="http://schemas.openxmlformats.org/officeDocument/2006/relationships/hyperlink" Target="https://library.mededtech.ru/rest/documents/sp1.2.3685-21/#tab3_5" TargetMode="External"/><Relationship Id="rId50" Type="http://schemas.openxmlformats.org/officeDocument/2006/relationships/hyperlink" Target="https://library.mededtech.ru/rest/documents/sp1.2.3685-21/#tab3_1" TargetMode="External"/><Relationship Id="rId51" Type="http://schemas.openxmlformats.org/officeDocument/2006/relationships/hyperlink" Target="https://library.mededtech.ru/rest/documents/sp1.2.3685-21/#list_item_0sjbuo" TargetMode="External"/><Relationship Id="rId52" Type="http://schemas.openxmlformats.org/officeDocument/2006/relationships/hyperlink" Target="https://library.mededtech.ru/rest/documents/sp1.2.3685-21/#tab3_10" TargetMode="External"/><Relationship Id="rId53" Type="http://schemas.openxmlformats.org/officeDocument/2006/relationships/hyperlink" Target="https://library.mededtech.ru/rest/documents/sp2.4.3648_20/#list_item_5brk6b" TargetMode="External"/><Relationship Id="rId54" Type="http://schemas.openxmlformats.org/officeDocument/2006/relationships/hyperlink" Target="https://library.mededtech.ru/rest/documents/sp1.2.3685-21/#tab6_7" TargetMode="External"/><Relationship Id="rId55" Type="http://schemas.openxmlformats.org/officeDocument/2006/relationships/hyperlink" Target="https://library.mededtech.ru/rest/documents/sp2.4.3648_20/#paragraph_27il16" TargetMode="External"/><Relationship Id="rId56" Type="http://schemas.openxmlformats.org/officeDocument/2006/relationships/hyperlink" Target="https://library.mededtech.ru/rest/documents/sp2.4.3648_20/#list_item_oa4di8" TargetMode="External"/><Relationship Id="rId57" Type="http://schemas.openxmlformats.org/officeDocument/2006/relationships/hyperlink" Target="https://library.mededtech.ru/rest/documents/sp2.4.3648_20/#list_item_2di2lb" TargetMode="External"/><Relationship Id="rId58" Type="http://schemas.openxmlformats.org/officeDocument/2006/relationships/hyperlink" Target="https://library.mededtech.ru/rest/documents/sp1.2.3685-21/#tab6_16" TargetMode="External"/><Relationship Id="rId59" Type="http://schemas.openxmlformats.org/officeDocument/2006/relationships/hyperlink" Target="https://library.mededtech.ru/rest/documents/fzN248/#list_item_oas4qb" TargetMode="External"/><Relationship Id="rId60" Type="http://schemas.openxmlformats.org/officeDocument/2006/relationships/hyperlink" Target="https://library.mededtech.ru/rest/documents/fzN248/#list_item_ilhp25" TargetMode="External"/><Relationship Id="rId61" Type="http://schemas.openxmlformats.org/officeDocument/2006/relationships/hyperlink" Target="https://library.mededtech.ru/rest/documents/fzN248/#list_item_pstbl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